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313D" w14:textId="77777777" w:rsidR="0065755C" w:rsidRPr="0065755C" w:rsidRDefault="0065755C" w:rsidP="0065755C">
      <w:pPr>
        <w:rPr>
          <w:rFonts w:ascii="Arial" w:hAnsi="Arial" w:cs="Arial"/>
          <w:b/>
          <w:bCs/>
        </w:rPr>
      </w:pPr>
      <w:bookmarkStart w:id="0" w:name="_GoBack"/>
      <w:bookmarkEnd w:id="0"/>
      <w:r w:rsidRPr="0065755C">
        <w:rPr>
          <w:rFonts w:ascii="Arial" w:hAnsi="Arial" w:cs="Arial"/>
          <w:b/>
          <w:bCs/>
        </w:rPr>
        <w:t>Notes for Prospective Job Applicants</w:t>
      </w:r>
    </w:p>
    <w:p w14:paraId="500F313E" w14:textId="77777777" w:rsidR="0065755C" w:rsidRPr="0065755C" w:rsidRDefault="0065755C" w:rsidP="0065755C">
      <w:pPr>
        <w:rPr>
          <w:rFonts w:ascii="Arial" w:hAnsi="Arial" w:cs="Arial"/>
          <w:b/>
          <w:bCs/>
        </w:rPr>
      </w:pPr>
      <w:r w:rsidRPr="0065755C">
        <w:rPr>
          <w:rFonts w:ascii="Arial" w:hAnsi="Arial" w:cs="Arial"/>
          <w:b/>
          <w:bCs/>
        </w:rPr>
        <w:t>Rehabilitation of Offenders Act 1974 (ROA ’74)</w:t>
      </w:r>
    </w:p>
    <w:p w14:paraId="500F313F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One of the questions on the application form asks whether you have any convictions for criminal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offences. If you have never at any time been convicted of a criminal offence, then answering the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question presents no difficulty. If on the other hand, you have in the past been convicted of a criminal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offence, then under certain circumstances, ROA ’74 allows you to regard the conviction as “spent”,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and to answer the question as though the offence had never occurred.</w:t>
      </w:r>
    </w:p>
    <w:p w14:paraId="500F3140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These notes are designed to help you to determine whether or not your conviction is “spent”, when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considering your response to the question.</w:t>
      </w:r>
    </w:p>
    <w:p w14:paraId="500F3141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[Please note that should you be applying for a post that requires a Criminal Records Bureau</w:t>
      </w:r>
      <w:r w:rsidR="002C13F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Disclosure check, then all convictions whether spent or not will be detailed on the disclosure certificate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 xml:space="preserve">that is issued to both </w:t>
      </w:r>
      <w:r w:rsidR="002C13F6">
        <w:rPr>
          <w:rFonts w:ascii="Arial" w:hAnsi="Arial" w:cs="Arial"/>
        </w:rPr>
        <w:t>South Lakes Housing</w:t>
      </w:r>
      <w:r w:rsidRPr="0065755C">
        <w:rPr>
          <w:rFonts w:ascii="Arial" w:hAnsi="Arial" w:cs="Arial"/>
        </w:rPr>
        <w:t xml:space="preserve"> and the applicant. This check is carried out once a preferred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candidate has been selected, prior to a formal offer of employment being made.]</w:t>
      </w:r>
    </w:p>
    <w:p w14:paraId="500F3142" w14:textId="77777777" w:rsidR="0065755C" w:rsidRPr="0065755C" w:rsidRDefault="0065755C" w:rsidP="0065755C">
      <w:pPr>
        <w:rPr>
          <w:rFonts w:ascii="Arial" w:hAnsi="Arial" w:cs="Arial"/>
          <w:b/>
          <w:bCs/>
        </w:rPr>
      </w:pPr>
      <w:r w:rsidRPr="0065755C">
        <w:rPr>
          <w:rFonts w:ascii="Arial" w:hAnsi="Arial" w:cs="Arial"/>
          <w:b/>
          <w:bCs/>
        </w:rPr>
        <w:t>Exempt Occupations</w:t>
      </w:r>
    </w:p>
    <w:p w14:paraId="500F3143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The first important point is that the provisions about non-disclosure of “spent” convictions do not apply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to certain occupations. If the post for which you are applying is one of these exempted occupations, a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conviction can never become “spent” and you must declare any previous convictions.</w:t>
      </w:r>
    </w:p>
    <w:p w14:paraId="500F3144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 xml:space="preserve">As far as </w:t>
      </w:r>
      <w:r w:rsidR="00682169">
        <w:rPr>
          <w:rFonts w:ascii="Arial" w:hAnsi="Arial" w:cs="Arial"/>
        </w:rPr>
        <w:t>SLH</w:t>
      </w:r>
      <w:r w:rsidRPr="0065755C">
        <w:rPr>
          <w:rFonts w:ascii="Arial" w:hAnsi="Arial" w:cs="Arial"/>
        </w:rPr>
        <w:t xml:space="preserve"> is concerned, the following professions, occupations, offices or</w:t>
      </w:r>
      <w:r w:rsidR="002C13F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employments are exempt under the Rehabilitation of Offenders Act 1974, and any previous conviction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must be disclosed:-</w:t>
      </w:r>
    </w:p>
    <w:p w14:paraId="500F3145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(i) Barrister, Solicitor</w:t>
      </w:r>
    </w:p>
    <w:p w14:paraId="500F3146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(ii) Chartered Accountant, Certified Accountant</w:t>
      </w:r>
    </w:p>
    <w:p w14:paraId="500F3147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(iii) Any officer of employment concerned with provision to persons aged under 18 of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accommodation, care, leisure and recreational facilities, supervision or training, which enables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the office holder to have access in the course of his/her normal duties to those under 18, and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any office holder whose normal duties are carried out wholly or partly on the premises where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such provision takes place.</w:t>
      </w:r>
    </w:p>
    <w:p w14:paraId="500F3148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(iv) Any employment in connection with a position enabling the holder to</w:t>
      </w:r>
      <w:r w:rsidR="002C13F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have access to the following people in the course of normal duties:</w:t>
      </w:r>
    </w:p>
    <w:p w14:paraId="500F3149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• People over the age of 65</w:t>
      </w:r>
    </w:p>
    <w:p w14:paraId="500F314A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• People suffering from serious illness or mental disorders</w:t>
      </w:r>
    </w:p>
    <w:p w14:paraId="500F314B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•• People addicted to alcohol or drugs</w:t>
      </w:r>
    </w:p>
    <w:p w14:paraId="500F314C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• People who are blind, deaf or dumb</w:t>
      </w:r>
    </w:p>
    <w:p w14:paraId="500F314D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lastRenderedPageBreak/>
        <w:t>• Other people who are substantially and permanently handicapped by illness, injury or congenital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deformity.</w:t>
      </w:r>
    </w:p>
    <w:p w14:paraId="500F314E" w14:textId="77777777" w:rsidR="0065755C" w:rsidRPr="0065755C" w:rsidRDefault="0065755C" w:rsidP="0065755C">
      <w:pPr>
        <w:rPr>
          <w:rFonts w:ascii="Arial" w:hAnsi="Arial" w:cs="Arial"/>
          <w:b/>
          <w:bCs/>
        </w:rPr>
      </w:pPr>
      <w:r w:rsidRPr="0065755C">
        <w:rPr>
          <w:rFonts w:ascii="Arial" w:hAnsi="Arial" w:cs="Arial"/>
          <w:b/>
          <w:bCs/>
        </w:rPr>
        <w:t>When is a Conviction Spent?</w:t>
      </w:r>
    </w:p>
    <w:p w14:paraId="500F314F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If the job for which you are applying does not fall into any of the above categories, then you should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read the following information.</w:t>
      </w:r>
    </w:p>
    <w:p w14:paraId="500F3150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The purpose of the Act is to make life easier for persons who have been convicted of criminal offences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and have subsequently gone straight. It provides for a period of rehabilitation after conviction for an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offence after which anyone who has a conviction shall be treated for all purposes in law as a person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who has not committed that offence. In other words, provided you have completed the appropriate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rehabilitation period, you can be regarded as of good character, and can, without fear of the</w:t>
      </w:r>
      <w:r w:rsidR="0090196D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consequences, deny that you have ever been convicted of an offence.</w:t>
      </w:r>
    </w:p>
    <w:p w14:paraId="500F3151" w14:textId="77777777" w:rsidR="002C13F6" w:rsidRDefault="0065755C" w:rsidP="002C13F6">
      <w:pPr>
        <w:rPr>
          <w:rFonts w:ascii="Arial" w:hAnsi="Arial" w:cs="Arial"/>
          <w:i/>
          <w:iCs/>
        </w:rPr>
      </w:pPr>
      <w:r w:rsidRPr="0065755C">
        <w:rPr>
          <w:rFonts w:ascii="Arial" w:hAnsi="Arial" w:cs="Arial"/>
          <w:i/>
          <w:iCs/>
        </w:rPr>
        <w:t>The Rehabilitation Periods are as follows:-</w:t>
      </w:r>
      <w:r w:rsidR="002C13F6">
        <w:rPr>
          <w:rFonts w:ascii="Arial" w:hAnsi="Arial" w:cs="Arial"/>
          <w:i/>
          <w:iCs/>
        </w:rPr>
        <w:tab/>
      </w:r>
    </w:p>
    <w:p w14:paraId="500F3152" w14:textId="77777777" w:rsidR="002C13F6" w:rsidRPr="002C13F6" w:rsidRDefault="002C13F6" w:rsidP="002C13F6">
      <w:pPr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>Rehabilitation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2C13F6" w14:paraId="500F3155" w14:textId="77777777" w:rsidTr="002C13F6">
        <w:tc>
          <w:tcPr>
            <w:tcW w:w="4621" w:type="dxa"/>
          </w:tcPr>
          <w:p w14:paraId="500F3153" w14:textId="77777777" w:rsidR="002C13F6" w:rsidRPr="002C13F6" w:rsidRDefault="002C13F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sentence of imprisonment between six months and two and a half years</w:t>
            </w:r>
          </w:p>
        </w:tc>
        <w:tc>
          <w:tcPr>
            <w:tcW w:w="4621" w:type="dxa"/>
          </w:tcPr>
          <w:p w14:paraId="500F3154" w14:textId="77777777" w:rsidR="002C13F6" w:rsidRPr="00D720D6" w:rsidRDefault="006A25A9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  <w:r w:rsidR="002C13F6" w:rsidRPr="00D720D6">
              <w:rPr>
                <w:rFonts w:ascii="Arial" w:hAnsi="Arial" w:cs="Arial"/>
                <w:b/>
                <w:iCs/>
              </w:rPr>
              <w:t xml:space="preserve"> years</w:t>
            </w:r>
          </w:p>
        </w:tc>
      </w:tr>
      <w:tr w:rsidR="002C13F6" w14:paraId="500F3158" w14:textId="77777777" w:rsidTr="002C13F6">
        <w:tc>
          <w:tcPr>
            <w:tcW w:w="4621" w:type="dxa"/>
          </w:tcPr>
          <w:p w14:paraId="500F3156" w14:textId="77777777" w:rsidR="002C13F6" w:rsidRDefault="002C13F6" w:rsidP="002C13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21" w:type="dxa"/>
          </w:tcPr>
          <w:p w14:paraId="500F3157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C13F6" w14:paraId="500F315B" w14:textId="77777777" w:rsidTr="002C13F6">
        <w:tc>
          <w:tcPr>
            <w:tcW w:w="4621" w:type="dxa"/>
          </w:tcPr>
          <w:p w14:paraId="500F3159" w14:textId="77777777" w:rsidR="002C13F6" w:rsidRPr="002C13F6" w:rsidRDefault="002C13F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sentence of imprisonment of six months or less</w:t>
            </w:r>
          </w:p>
        </w:tc>
        <w:tc>
          <w:tcPr>
            <w:tcW w:w="4621" w:type="dxa"/>
          </w:tcPr>
          <w:p w14:paraId="500F315A" w14:textId="77777777" w:rsidR="002C13F6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</w:t>
            </w:r>
            <w:r w:rsidR="002C13F6" w:rsidRPr="00D720D6">
              <w:rPr>
                <w:rFonts w:ascii="Arial" w:hAnsi="Arial" w:cs="Arial"/>
                <w:b/>
                <w:i/>
                <w:iCs/>
              </w:rPr>
              <w:t xml:space="preserve"> years</w:t>
            </w:r>
          </w:p>
        </w:tc>
      </w:tr>
      <w:tr w:rsidR="006A25A9" w14:paraId="500F315E" w14:textId="77777777" w:rsidTr="002C13F6">
        <w:tc>
          <w:tcPr>
            <w:tcW w:w="4621" w:type="dxa"/>
          </w:tcPr>
          <w:p w14:paraId="500F315C" w14:textId="77777777" w:rsidR="006A25A9" w:rsidRDefault="006A25A9" w:rsidP="002C13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21" w:type="dxa"/>
          </w:tcPr>
          <w:p w14:paraId="500F315D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A25A9" w14:paraId="500F3161" w14:textId="77777777" w:rsidTr="002C13F6">
        <w:tc>
          <w:tcPr>
            <w:tcW w:w="4621" w:type="dxa"/>
          </w:tcPr>
          <w:p w14:paraId="500F315F" w14:textId="77777777" w:rsidR="006A25A9" w:rsidRPr="006A25A9" w:rsidRDefault="006A25A9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sentences two and a half years to 4 years</w:t>
            </w:r>
            <w:r w:rsidR="00C84377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621" w:type="dxa"/>
          </w:tcPr>
          <w:p w14:paraId="500F3160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4 years</w:t>
            </w:r>
          </w:p>
        </w:tc>
      </w:tr>
      <w:tr w:rsidR="002C13F6" w14:paraId="500F3164" w14:textId="77777777" w:rsidTr="002C13F6">
        <w:tc>
          <w:tcPr>
            <w:tcW w:w="4621" w:type="dxa"/>
          </w:tcPr>
          <w:p w14:paraId="500F3162" w14:textId="77777777" w:rsidR="002C13F6" w:rsidRDefault="002C13F6" w:rsidP="002C13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21" w:type="dxa"/>
          </w:tcPr>
          <w:p w14:paraId="500F3163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A25A9" w14:paraId="500F3167" w14:textId="77777777" w:rsidTr="002C13F6">
        <w:tc>
          <w:tcPr>
            <w:tcW w:w="4621" w:type="dxa"/>
          </w:tcPr>
          <w:p w14:paraId="500F3165" w14:textId="77777777" w:rsidR="006A25A9" w:rsidRPr="006A25A9" w:rsidRDefault="006A25A9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sentences over 4 years</w:t>
            </w:r>
          </w:p>
        </w:tc>
        <w:tc>
          <w:tcPr>
            <w:tcW w:w="4621" w:type="dxa"/>
          </w:tcPr>
          <w:p w14:paraId="500F3166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Never spent</w:t>
            </w:r>
          </w:p>
        </w:tc>
      </w:tr>
      <w:tr w:rsidR="006A25A9" w14:paraId="500F316A" w14:textId="77777777" w:rsidTr="002C13F6">
        <w:tc>
          <w:tcPr>
            <w:tcW w:w="4621" w:type="dxa"/>
          </w:tcPr>
          <w:p w14:paraId="500F3168" w14:textId="77777777" w:rsidR="006A25A9" w:rsidRDefault="006A25A9" w:rsidP="002C13F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21" w:type="dxa"/>
          </w:tcPr>
          <w:p w14:paraId="500F3169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C13F6" w14:paraId="500F316D" w14:textId="77777777" w:rsidTr="002C13F6">
        <w:tc>
          <w:tcPr>
            <w:tcW w:w="4621" w:type="dxa"/>
          </w:tcPr>
          <w:p w14:paraId="500F316B" w14:textId="77777777" w:rsidR="002C13F6" w:rsidRPr="002C13F6" w:rsidRDefault="002C13F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sentence of borstal training</w:t>
            </w:r>
          </w:p>
        </w:tc>
        <w:tc>
          <w:tcPr>
            <w:tcW w:w="4621" w:type="dxa"/>
          </w:tcPr>
          <w:p w14:paraId="500F316C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  <w:r w:rsidRPr="00D720D6">
              <w:rPr>
                <w:rFonts w:ascii="Arial" w:hAnsi="Arial" w:cs="Arial"/>
                <w:b/>
                <w:i/>
                <w:iCs/>
              </w:rPr>
              <w:t>7 years</w:t>
            </w:r>
          </w:p>
        </w:tc>
      </w:tr>
      <w:tr w:rsidR="002C13F6" w14:paraId="500F3170" w14:textId="77777777" w:rsidTr="002C13F6">
        <w:tc>
          <w:tcPr>
            <w:tcW w:w="4621" w:type="dxa"/>
          </w:tcPr>
          <w:p w14:paraId="500F316E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6F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C13F6" w14:paraId="500F3173" w14:textId="77777777" w:rsidTr="002C13F6">
        <w:tc>
          <w:tcPr>
            <w:tcW w:w="4621" w:type="dxa"/>
          </w:tcPr>
          <w:p w14:paraId="500F3171" w14:textId="77777777" w:rsidR="002C13F6" w:rsidRDefault="002C13F6" w:rsidP="006A25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For </w:t>
            </w:r>
            <w:r w:rsidR="006A25A9">
              <w:rPr>
                <w:rFonts w:ascii="Arial" w:hAnsi="Arial" w:cs="Arial"/>
                <w:iCs/>
              </w:rPr>
              <w:t>community service order or youth community order</w:t>
            </w:r>
            <w:r>
              <w:rPr>
                <w:rFonts w:ascii="Arial" w:hAnsi="Arial" w:cs="Arial"/>
                <w:iCs/>
              </w:rPr>
              <w:t xml:space="preserve"> for which no other Rehabilitation Period is prescribed</w:t>
            </w:r>
          </w:p>
        </w:tc>
        <w:tc>
          <w:tcPr>
            <w:tcW w:w="4621" w:type="dxa"/>
          </w:tcPr>
          <w:p w14:paraId="500F3172" w14:textId="77777777" w:rsidR="002C13F6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 year</w:t>
            </w:r>
          </w:p>
        </w:tc>
      </w:tr>
      <w:tr w:rsidR="002C13F6" w14:paraId="500F3176" w14:textId="77777777" w:rsidTr="002C13F6">
        <w:tc>
          <w:tcPr>
            <w:tcW w:w="4621" w:type="dxa"/>
          </w:tcPr>
          <w:p w14:paraId="500F3174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75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6A25A9" w14:paraId="500F3179" w14:textId="77777777" w:rsidTr="002C13F6">
        <w:tc>
          <w:tcPr>
            <w:tcW w:w="4621" w:type="dxa"/>
          </w:tcPr>
          <w:p w14:paraId="500F3177" w14:textId="77777777" w:rsidR="006A25A9" w:rsidRDefault="006A25A9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fine</w:t>
            </w:r>
          </w:p>
        </w:tc>
        <w:tc>
          <w:tcPr>
            <w:tcW w:w="4621" w:type="dxa"/>
          </w:tcPr>
          <w:p w14:paraId="500F3178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 year from date of conviction</w:t>
            </w:r>
          </w:p>
        </w:tc>
      </w:tr>
      <w:tr w:rsidR="006A25A9" w14:paraId="500F317C" w14:textId="77777777" w:rsidTr="002C13F6">
        <w:tc>
          <w:tcPr>
            <w:tcW w:w="4621" w:type="dxa"/>
          </w:tcPr>
          <w:p w14:paraId="500F317A" w14:textId="77777777" w:rsidR="006A25A9" w:rsidRDefault="006A25A9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7B" w14:textId="77777777" w:rsidR="006A25A9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C13F6" w14:paraId="500F317F" w14:textId="77777777" w:rsidTr="002C13F6">
        <w:tc>
          <w:tcPr>
            <w:tcW w:w="4621" w:type="dxa"/>
          </w:tcPr>
          <w:p w14:paraId="500F317D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an absolute discharge</w:t>
            </w:r>
          </w:p>
        </w:tc>
        <w:tc>
          <w:tcPr>
            <w:tcW w:w="4621" w:type="dxa"/>
          </w:tcPr>
          <w:p w14:paraId="500F317E" w14:textId="77777777" w:rsidR="002C13F6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nil</w:t>
            </w:r>
          </w:p>
        </w:tc>
      </w:tr>
      <w:tr w:rsidR="002C13F6" w14:paraId="500F3182" w14:textId="77777777" w:rsidTr="002C13F6">
        <w:tc>
          <w:tcPr>
            <w:tcW w:w="4621" w:type="dxa"/>
          </w:tcPr>
          <w:p w14:paraId="500F3180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81" w14:textId="77777777" w:rsidR="002C13F6" w:rsidRPr="00D720D6" w:rsidRDefault="002C13F6" w:rsidP="002C13F6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C13F6" w14:paraId="500F3185" w14:textId="77777777" w:rsidTr="002C13F6">
        <w:tc>
          <w:tcPr>
            <w:tcW w:w="4621" w:type="dxa"/>
          </w:tcPr>
          <w:p w14:paraId="500F3183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probation order, conditional discharge or bind over; and for fit person orders, supervision orders or care orders under the Children and Young Persons Acts (and their equivalent in Scotland)</w:t>
            </w:r>
          </w:p>
        </w:tc>
        <w:tc>
          <w:tcPr>
            <w:tcW w:w="4621" w:type="dxa"/>
          </w:tcPr>
          <w:p w14:paraId="500F3184" w14:textId="77777777" w:rsidR="002C13F6" w:rsidRPr="00D720D6" w:rsidRDefault="006A25A9" w:rsidP="002C13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Period of the order</w:t>
            </w:r>
          </w:p>
        </w:tc>
      </w:tr>
      <w:tr w:rsidR="002C13F6" w14:paraId="500F3188" w14:textId="77777777" w:rsidTr="002C13F6">
        <w:tc>
          <w:tcPr>
            <w:tcW w:w="4621" w:type="dxa"/>
          </w:tcPr>
          <w:p w14:paraId="500F3186" w14:textId="77777777" w:rsidR="002C13F6" w:rsidRDefault="002C13F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87" w14:textId="77777777" w:rsidR="002C13F6" w:rsidRDefault="002C13F6" w:rsidP="002C13F6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00F3189" w14:textId="77777777" w:rsidR="002C13F6" w:rsidRDefault="002C13F6" w:rsidP="002C13F6">
      <w:pPr>
        <w:rPr>
          <w:rFonts w:ascii="Arial" w:hAnsi="Arial" w:cs="Arial"/>
          <w:i/>
          <w:iCs/>
        </w:rPr>
      </w:pPr>
    </w:p>
    <w:p w14:paraId="500F318A" w14:textId="77777777" w:rsidR="00D720D6" w:rsidRDefault="00D720D6" w:rsidP="002C13F6">
      <w:pPr>
        <w:rPr>
          <w:rFonts w:ascii="Arial" w:hAnsi="Arial" w:cs="Arial"/>
          <w:b/>
          <w:iCs/>
        </w:rPr>
      </w:pPr>
      <w:r w:rsidRPr="00D720D6">
        <w:rPr>
          <w:rFonts w:ascii="Arial" w:hAnsi="Arial" w:cs="Arial"/>
          <w:i/>
          <w:iCs/>
        </w:rPr>
        <w:t>For detention by direction of the Home Secretary:-</w:t>
      </w:r>
      <w:r>
        <w:rPr>
          <w:rFonts w:ascii="Arial" w:hAnsi="Arial" w:cs="Arial"/>
          <w:i/>
          <w:iCs/>
        </w:rPr>
        <w:t xml:space="preserve">  </w:t>
      </w:r>
      <w:r w:rsidRPr="00D720D6">
        <w:rPr>
          <w:rFonts w:ascii="Arial" w:hAnsi="Arial" w:cs="Arial"/>
          <w:b/>
          <w:iCs/>
        </w:rPr>
        <w:t>Rehabilitation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D720D6" w14:paraId="500F318D" w14:textId="77777777" w:rsidTr="00D720D6">
        <w:tc>
          <w:tcPr>
            <w:tcW w:w="4621" w:type="dxa"/>
          </w:tcPr>
          <w:p w14:paraId="500F318B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  <w:r w:rsidRPr="00D720D6">
              <w:rPr>
                <w:rFonts w:ascii="Arial" w:hAnsi="Arial" w:cs="Arial"/>
                <w:iCs/>
              </w:rPr>
              <w:t>From six months to two and a half years</w:t>
            </w:r>
          </w:p>
        </w:tc>
        <w:tc>
          <w:tcPr>
            <w:tcW w:w="4621" w:type="dxa"/>
          </w:tcPr>
          <w:p w14:paraId="500F318C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 years</w:t>
            </w:r>
          </w:p>
        </w:tc>
      </w:tr>
      <w:tr w:rsidR="00D720D6" w14:paraId="500F3190" w14:textId="77777777" w:rsidTr="00D720D6">
        <w:tc>
          <w:tcPr>
            <w:tcW w:w="4621" w:type="dxa"/>
          </w:tcPr>
          <w:p w14:paraId="500F318E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621" w:type="dxa"/>
          </w:tcPr>
          <w:p w14:paraId="500F318F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720D6" w14:paraId="500F3193" w14:textId="77777777" w:rsidTr="00D720D6">
        <w:tc>
          <w:tcPr>
            <w:tcW w:w="4621" w:type="dxa"/>
          </w:tcPr>
          <w:p w14:paraId="500F3191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  <w:r w:rsidRPr="00D720D6">
              <w:rPr>
                <w:rFonts w:ascii="Arial" w:hAnsi="Arial" w:cs="Arial"/>
                <w:iCs/>
              </w:rPr>
              <w:lastRenderedPageBreak/>
              <w:t>From six months or less</w:t>
            </w:r>
          </w:p>
        </w:tc>
        <w:tc>
          <w:tcPr>
            <w:tcW w:w="4621" w:type="dxa"/>
          </w:tcPr>
          <w:p w14:paraId="500F3192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 years</w:t>
            </w:r>
          </w:p>
        </w:tc>
      </w:tr>
      <w:tr w:rsidR="00D720D6" w14:paraId="500F3196" w14:textId="77777777" w:rsidTr="00D720D6">
        <w:tc>
          <w:tcPr>
            <w:tcW w:w="4621" w:type="dxa"/>
          </w:tcPr>
          <w:p w14:paraId="500F3194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95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720D6" w14:paraId="500F3199" w14:textId="77777777" w:rsidTr="00D720D6">
        <w:tc>
          <w:tcPr>
            <w:tcW w:w="4621" w:type="dxa"/>
          </w:tcPr>
          <w:p w14:paraId="500F3197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  <w:r w:rsidRPr="00D720D6">
              <w:rPr>
                <w:rFonts w:ascii="Arial" w:hAnsi="Arial" w:cs="Arial"/>
                <w:iCs/>
              </w:rPr>
              <w:t>From a detention centre order</w:t>
            </w:r>
          </w:p>
        </w:tc>
        <w:tc>
          <w:tcPr>
            <w:tcW w:w="4621" w:type="dxa"/>
          </w:tcPr>
          <w:p w14:paraId="500F3198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3 years</w:t>
            </w:r>
          </w:p>
        </w:tc>
      </w:tr>
      <w:tr w:rsidR="00D720D6" w14:paraId="500F319C" w14:textId="77777777" w:rsidTr="00D720D6">
        <w:tc>
          <w:tcPr>
            <w:tcW w:w="4621" w:type="dxa"/>
          </w:tcPr>
          <w:p w14:paraId="500F319A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9B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720D6" w14:paraId="500F319F" w14:textId="77777777" w:rsidTr="00D720D6">
        <w:tc>
          <w:tcPr>
            <w:tcW w:w="4621" w:type="dxa"/>
          </w:tcPr>
          <w:p w14:paraId="500F319D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  <w:r w:rsidRPr="00D720D6">
              <w:rPr>
                <w:rFonts w:ascii="Arial" w:hAnsi="Arial" w:cs="Arial"/>
                <w:iCs/>
              </w:rPr>
              <w:t xml:space="preserve">For a remand home order, an approved school order or an attendance centre order </w:t>
            </w:r>
          </w:p>
        </w:tc>
        <w:tc>
          <w:tcPr>
            <w:tcW w:w="4621" w:type="dxa"/>
          </w:tcPr>
          <w:p w14:paraId="500F319E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The period of the order and a further year after the order expires</w:t>
            </w:r>
          </w:p>
        </w:tc>
      </w:tr>
      <w:tr w:rsidR="00D720D6" w14:paraId="500F31A2" w14:textId="77777777" w:rsidTr="00D720D6">
        <w:tc>
          <w:tcPr>
            <w:tcW w:w="4621" w:type="dxa"/>
          </w:tcPr>
          <w:p w14:paraId="500F31A0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A1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D720D6" w14:paraId="500F31A5" w14:textId="77777777" w:rsidTr="00D720D6">
        <w:tc>
          <w:tcPr>
            <w:tcW w:w="4621" w:type="dxa"/>
          </w:tcPr>
          <w:p w14:paraId="500F31A3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For a hospital order under the Mental Health Acts</w:t>
            </w:r>
          </w:p>
        </w:tc>
        <w:tc>
          <w:tcPr>
            <w:tcW w:w="4621" w:type="dxa"/>
          </w:tcPr>
          <w:p w14:paraId="500F31A4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The period of the order plus a further two years after the order expires (with a minimum of five years from the date of conviction)</w:t>
            </w:r>
          </w:p>
        </w:tc>
      </w:tr>
      <w:tr w:rsidR="00D720D6" w14:paraId="500F31A8" w14:textId="77777777" w:rsidTr="00D720D6">
        <w:tc>
          <w:tcPr>
            <w:tcW w:w="4621" w:type="dxa"/>
          </w:tcPr>
          <w:p w14:paraId="500F31A6" w14:textId="77777777" w:rsidR="00D720D6" w:rsidRPr="00D720D6" w:rsidRDefault="00D720D6" w:rsidP="002C13F6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21" w:type="dxa"/>
          </w:tcPr>
          <w:p w14:paraId="500F31A7" w14:textId="77777777" w:rsidR="00D720D6" w:rsidRDefault="00D720D6" w:rsidP="002C13F6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14:paraId="500F31A9" w14:textId="77777777" w:rsidR="00D720D6" w:rsidRDefault="00D720D6" w:rsidP="002C13F6">
      <w:pPr>
        <w:rPr>
          <w:rFonts w:ascii="Arial" w:hAnsi="Arial" w:cs="Arial"/>
          <w:b/>
          <w:iCs/>
        </w:rPr>
      </w:pPr>
    </w:p>
    <w:p w14:paraId="500F31AA" w14:textId="77777777" w:rsidR="00D720D6" w:rsidRDefault="00D720D6" w:rsidP="002C13F6">
      <w:pPr>
        <w:rPr>
          <w:rFonts w:ascii="Arial" w:hAnsi="Arial" w:cs="Arial"/>
          <w:iCs/>
        </w:rPr>
      </w:pPr>
      <w:r w:rsidRPr="00D720D6">
        <w:rPr>
          <w:rFonts w:ascii="Arial" w:hAnsi="Arial" w:cs="Arial"/>
          <w:iCs/>
        </w:rPr>
        <w:t>Offences committed whilst serving in the armed forces are treated as set out above.  The following rehabilitation periods are for specific types of military punishments:-</w:t>
      </w:r>
    </w:p>
    <w:p w14:paraId="500F31AB" w14:textId="77777777" w:rsidR="00D720D6" w:rsidRPr="00D720D6" w:rsidRDefault="00D720D6" w:rsidP="002C13F6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iCs/>
        </w:rPr>
        <w:t>Rehabilitation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D720D6" w14:paraId="500F31AE" w14:textId="77777777" w:rsidTr="00D720D6">
        <w:tc>
          <w:tcPr>
            <w:tcW w:w="4621" w:type="dxa"/>
          </w:tcPr>
          <w:p w14:paraId="500F31AC" w14:textId="77777777" w:rsidR="00D720D6" w:rsidRPr="00D720D6" w:rsidRDefault="00D720D6" w:rsidP="00D720D6">
            <w:pPr>
              <w:rPr>
                <w:rFonts w:ascii="Arial" w:hAnsi="Arial" w:cs="Arial"/>
                <w:bCs/>
                <w:iCs/>
              </w:rPr>
            </w:pPr>
            <w:r w:rsidRPr="00D720D6">
              <w:rPr>
                <w:rFonts w:ascii="Arial" w:hAnsi="Arial" w:cs="Arial"/>
                <w:bCs/>
                <w:iCs/>
              </w:rPr>
              <w:t>For cashiering, discharge with ignominy or dismissal with disgrace</w:t>
            </w:r>
          </w:p>
        </w:tc>
        <w:tc>
          <w:tcPr>
            <w:tcW w:w="4621" w:type="dxa"/>
          </w:tcPr>
          <w:p w14:paraId="500F31AD" w14:textId="77777777" w:rsidR="00D720D6" w:rsidRDefault="00D720D6" w:rsidP="00D720D6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 years</w:t>
            </w:r>
          </w:p>
        </w:tc>
      </w:tr>
      <w:tr w:rsidR="00D720D6" w14:paraId="500F31B1" w14:textId="77777777" w:rsidTr="00D720D6">
        <w:tc>
          <w:tcPr>
            <w:tcW w:w="4621" w:type="dxa"/>
          </w:tcPr>
          <w:p w14:paraId="500F31AF" w14:textId="77777777" w:rsidR="00D720D6" w:rsidRPr="00D720D6" w:rsidRDefault="00D720D6" w:rsidP="00D720D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1" w:type="dxa"/>
          </w:tcPr>
          <w:p w14:paraId="500F31B0" w14:textId="77777777" w:rsidR="00D720D6" w:rsidRDefault="00D720D6" w:rsidP="00D720D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720D6" w14:paraId="500F31B4" w14:textId="77777777" w:rsidTr="00D720D6">
        <w:tc>
          <w:tcPr>
            <w:tcW w:w="4621" w:type="dxa"/>
          </w:tcPr>
          <w:p w14:paraId="500F31B2" w14:textId="77777777" w:rsidR="00D720D6" w:rsidRPr="00D720D6" w:rsidRDefault="00D720D6" w:rsidP="00D720D6">
            <w:pPr>
              <w:rPr>
                <w:rFonts w:ascii="Arial" w:hAnsi="Arial" w:cs="Arial"/>
                <w:bCs/>
                <w:iCs/>
              </w:rPr>
            </w:pPr>
            <w:r w:rsidRPr="00D720D6">
              <w:rPr>
                <w:rFonts w:ascii="Arial" w:hAnsi="Arial" w:cs="Arial"/>
                <w:bCs/>
                <w:iCs/>
              </w:rPr>
              <w:t>For simple dismissal from the service</w:t>
            </w:r>
          </w:p>
        </w:tc>
        <w:tc>
          <w:tcPr>
            <w:tcW w:w="4621" w:type="dxa"/>
          </w:tcPr>
          <w:p w14:paraId="500F31B3" w14:textId="77777777" w:rsidR="00D720D6" w:rsidRDefault="00D720D6" w:rsidP="00D720D6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 years</w:t>
            </w:r>
          </w:p>
        </w:tc>
      </w:tr>
      <w:tr w:rsidR="00D720D6" w14:paraId="500F31B7" w14:textId="77777777" w:rsidTr="00D720D6">
        <w:tc>
          <w:tcPr>
            <w:tcW w:w="4621" w:type="dxa"/>
          </w:tcPr>
          <w:p w14:paraId="500F31B5" w14:textId="77777777" w:rsidR="00D720D6" w:rsidRPr="00D720D6" w:rsidRDefault="00D720D6" w:rsidP="00D720D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1" w:type="dxa"/>
          </w:tcPr>
          <w:p w14:paraId="500F31B6" w14:textId="77777777" w:rsidR="00D720D6" w:rsidRDefault="00D720D6" w:rsidP="00D720D6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720D6" w14:paraId="500F31BA" w14:textId="77777777" w:rsidTr="00D720D6">
        <w:tc>
          <w:tcPr>
            <w:tcW w:w="4621" w:type="dxa"/>
          </w:tcPr>
          <w:p w14:paraId="500F31B8" w14:textId="77777777" w:rsidR="00D720D6" w:rsidRPr="00D720D6" w:rsidRDefault="00D720D6" w:rsidP="00D720D6">
            <w:pPr>
              <w:rPr>
                <w:rFonts w:ascii="Arial" w:hAnsi="Arial" w:cs="Arial"/>
                <w:bCs/>
                <w:iCs/>
              </w:rPr>
            </w:pPr>
            <w:r w:rsidRPr="00D720D6">
              <w:rPr>
                <w:rFonts w:ascii="Arial" w:hAnsi="Arial" w:cs="Arial"/>
                <w:bCs/>
                <w:iCs/>
              </w:rPr>
              <w:t>For Detention</w:t>
            </w:r>
          </w:p>
        </w:tc>
        <w:tc>
          <w:tcPr>
            <w:tcW w:w="4621" w:type="dxa"/>
          </w:tcPr>
          <w:p w14:paraId="500F31B9" w14:textId="77777777" w:rsidR="00D720D6" w:rsidRDefault="00D720D6" w:rsidP="00D720D6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 years</w:t>
            </w:r>
          </w:p>
        </w:tc>
      </w:tr>
    </w:tbl>
    <w:p w14:paraId="500F31BB" w14:textId="77777777" w:rsidR="002C13F6" w:rsidRDefault="002C13F6" w:rsidP="002C13F6">
      <w:pPr>
        <w:ind w:left="6480"/>
        <w:rPr>
          <w:rFonts w:ascii="Arial" w:hAnsi="Arial" w:cs="Arial"/>
          <w:b/>
          <w:bCs/>
          <w:i/>
          <w:iCs/>
        </w:rPr>
      </w:pPr>
    </w:p>
    <w:p w14:paraId="500F31BC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The rehabilitation periods are halved for persons who were under 17 years of age when they were</w:t>
      </w:r>
      <w:r w:rsidR="00D720D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convicted.</w:t>
      </w:r>
    </w:p>
    <w:p w14:paraId="500F31BD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It is immaterial for the purposes of calculating a rehabilitation period whether a sentence is suspended</w:t>
      </w:r>
      <w:r w:rsidR="00D720D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or not.</w:t>
      </w:r>
    </w:p>
    <w:p w14:paraId="500F31BE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If after considering the above information you consider that</w:t>
      </w:r>
    </w:p>
    <w:p w14:paraId="500F31BF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(i) the post you are applying for is not on the exempt list and</w:t>
      </w:r>
    </w:p>
    <w:p w14:paraId="500F31C0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(ii) the rehabilitation period for your conviction has finished and</w:t>
      </w:r>
    </w:p>
    <w:p w14:paraId="500F31C1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(iii) the sentence for your conviction was not for more than two and a half years then, and only</w:t>
      </w:r>
      <w:r w:rsidR="00D720D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then, can you consider your conviction “spent”.</w:t>
      </w:r>
    </w:p>
    <w:p w14:paraId="500F31C2" w14:textId="77777777" w:rsidR="0065755C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You are advised that, if you make a false statement on the application form, then this could lead to</w:t>
      </w:r>
      <w:r w:rsidR="00D720D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dismissal.</w:t>
      </w:r>
    </w:p>
    <w:p w14:paraId="500F31C3" w14:textId="77777777" w:rsidR="001C2005" w:rsidRPr="0065755C" w:rsidRDefault="0065755C" w:rsidP="0065755C">
      <w:pPr>
        <w:rPr>
          <w:rFonts w:ascii="Arial" w:hAnsi="Arial" w:cs="Arial"/>
        </w:rPr>
      </w:pPr>
      <w:r w:rsidRPr="0065755C">
        <w:rPr>
          <w:rFonts w:ascii="Arial" w:hAnsi="Arial" w:cs="Arial"/>
        </w:rPr>
        <w:t>If you still have any doubts about how you should reply to the question on the application form, you</w:t>
      </w:r>
      <w:r w:rsidR="00D720D6">
        <w:rPr>
          <w:rFonts w:ascii="Arial" w:hAnsi="Arial" w:cs="Arial"/>
        </w:rPr>
        <w:t xml:space="preserve"> </w:t>
      </w:r>
      <w:r w:rsidRPr="0065755C">
        <w:rPr>
          <w:rFonts w:ascii="Arial" w:hAnsi="Arial" w:cs="Arial"/>
        </w:rPr>
        <w:t>should seek help from your legal adviser.</w:t>
      </w:r>
    </w:p>
    <w:sectPr w:rsidR="001C2005" w:rsidRPr="0065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5C"/>
    <w:rsid w:val="0010277D"/>
    <w:rsid w:val="00290521"/>
    <w:rsid w:val="002C13F6"/>
    <w:rsid w:val="0065755C"/>
    <w:rsid w:val="00682169"/>
    <w:rsid w:val="006A25A9"/>
    <w:rsid w:val="0090196D"/>
    <w:rsid w:val="009A0940"/>
    <w:rsid w:val="009C44E1"/>
    <w:rsid w:val="00C37CBF"/>
    <w:rsid w:val="00C84377"/>
    <w:rsid w:val="00D720D6"/>
    <w:rsid w:val="00D86D70"/>
    <w:rsid w:val="00EE3FE8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313D"/>
  <w15:docId w15:val="{69751035-00D9-48E3-A18F-BE6DD59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_x0020_Type xmlns="fb5f671b-9ec9-4f51-9ed2-fe154d1d4efd" xsi:nil="true"/>
    <Asset xmlns="fb5f671b-9ec9-4f51-9ed2-fe154d1d4efd" xsi:nil="true"/>
    <Document_x0020_Types xmlns="fb5f671b-9ec9-4f51-9ed2-fe154d1d4efd" xsi:nil="true"/>
    <Tenants xmlns="fb5f671b-9ec9-4f51-9ed2-fe154d1d4e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3D12D3709E54D8EDF2F5EDBC796B9" ma:contentTypeVersion="12" ma:contentTypeDescription="Create a new document." ma:contentTypeScope="" ma:versionID="cc06c19527de93d141f541648b0f4894">
  <xsd:schema xmlns:xsd="http://www.w3.org/2001/XMLSchema" xmlns:xs="http://www.w3.org/2001/XMLSchema" xmlns:p="http://schemas.microsoft.com/office/2006/metadata/properties" xmlns:ns2="fb5f671b-9ec9-4f51-9ed2-fe154d1d4efd" xmlns:ns3="607ee310-8a8d-4585-ab4f-0957db826cb4" targetNamespace="http://schemas.microsoft.com/office/2006/metadata/properties" ma:root="true" ma:fieldsID="377be1b9a0e9f6daa8aad0520d954695" ns2:_="" ns3:_="">
    <xsd:import namespace="fb5f671b-9ec9-4f51-9ed2-fe154d1d4efd"/>
    <xsd:import namespace="607ee310-8a8d-4585-ab4f-0957db826cb4"/>
    <xsd:element name="properties">
      <xsd:complexType>
        <xsd:sequence>
          <xsd:element name="documentManagement">
            <xsd:complexType>
              <xsd:all>
                <xsd:element ref="ns2:Asset" minOccurs="0"/>
                <xsd:element ref="ns2:Tenants" minOccurs="0"/>
                <xsd:element ref="ns2:Classification_x0020_Type" minOccurs="0"/>
                <xsd:element ref="ns2:Document_x0020_Typ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f671b-9ec9-4f51-9ed2-fe154d1d4efd" elementFormDefault="qualified">
    <xsd:import namespace="http://schemas.microsoft.com/office/2006/documentManagement/types"/>
    <xsd:import namespace="http://schemas.microsoft.com/office/infopath/2007/PartnerControls"/>
    <xsd:element name="Asset" ma:index="8" nillable="true" ma:displayName="Asset" ma:description="Address of asset" ma:internalName="Asset">
      <xsd:simpleType>
        <xsd:restriction base="dms:Text">
          <xsd:maxLength value="255"/>
        </xsd:restriction>
      </xsd:simpleType>
    </xsd:element>
    <xsd:element name="Tenants" ma:index="9" nillable="true" ma:displayName="Tenants" ma:description="Name of Tenant" ma:internalName="Tenants">
      <xsd:simpleType>
        <xsd:restriction base="dms:Text">
          <xsd:maxLength value="255"/>
        </xsd:restriction>
      </xsd:simpleType>
    </xsd:element>
    <xsd:element name="Classification_x0020_Type" ma:index="10" nillable="true" ma:displayName="Classification Type" ma:format="Dropdown" ma:internalName="Classification_x0020_Type">
      <xsd:simpleType>
        <xsd:restriction base="dms:Choice">
          <xsd:enumeration value="Tenant"/>
          <xsd:enumeration value="Lease"/>
          <xsd:enumeration value="Applicant"/>
        </xsd:restriction>
      </xsd:simpleType>
    </xsd:element>
    <xsd:element name="Document_x0020_Types" ma:index="11" nillable="true" ma:displayName="Document Types" ma:format="Dropdown" ma:internalName="Document_x0020_Types">
      <xsd:simpleType>
        <xsd:restriction base="dms:Choice">
          <xsd:enumeration value="Tenant Agreements"/>
          <xsd:enumeration value="Certificates"/>
          <xsd:enumeration value="Policies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e310-8a8d-4585-ab4f-0957db826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6D3B-4DAC-4099-9E0E-04485E9C00DE}">
  <ds:schemaRefs>
    <ds:schemaRef ds:uri="http://schemas.microsoft.com/office/2006/documentManagement/types"/>
    <ds:schemaRef ds:uri="fb5f671b-9ec9-4f51-9ed2-fe154d1d4efd"/>
    <ds:schemaRef ds:uri="607ee310-8a8d-4585-ab4f-0957db826cb4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A03255-50CE-43CB-B807-AC01E1B01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587A-F4CC-4B85-B139-74D58AE7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f671b-9ec9-4f51-9ed2-fe154d1d4efd"/>
    <ds:schemaRef ds:uri="607ee310-8a8d-4585-ab4f-0957db82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79063-BC22-469E-9B4A-F3BE486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Lakes Housing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Boulton</dc:creator>
  <cp:lastModifiedBy>Jennifer Stainton</cp:lastModifiedBy>
  <cp:revision>2</cp:revision>
  <cp:lastPrinted>2014-03-19T14:52:00Z</cp:lastPrinted>
  <dcterms:created xsi:type="dcterms:W3CDTF">2018-04-03T16:47:00Z</dcterms:created>
  <dcterms:modified xsi:type="dcterms:W3CDTF">2018-04-03T16:47:00Z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0x010100A8C3D12D3709E54D8EDF2F5EDBC796B9</vt:lpwstr>
  </property>
  <property fmtid="{D5CDD505-2E9C-101B-9397-08002B2CF9AE}" pid="3" name="Order">
    <vt:r8>1052600</vt:r8>
  </property>
</Properties>
</file>